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sz w:val="28"/>
          <w:szCs w:val="28"/>
        </w:rPr>
        <w:t>Приложение к постановлению</w:t>
      </w:r>
    </w:p>
    <w:p>
      <w:pPr>
        <w:pStyle w:val="Normal"/>
        <w:jc w:val="right"/>
        <w:rPr/>
      </w:pPr>
      <w:r>
        <w:rPr>
          <w:sz w:val="28"/>
          <w:szCs w:val="28"/>
        </w:rPr>
        <w:t>Администрации Катав-Ивановского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</w:p>
    <w:p>
      <w:pPr>
        <w:pStyle w:val="Normal"/>
        <w:jc w:val="right"/>
        <w:rPr>
          <w:u w:val="single"/>
        </w:rPr>
      </w:pPr>
      <w:r>
        <w:rPr>
          <w:b/>
          <w:sz w:val="28"/>
          <w:szCs w:val="28"/>
        </w:rPr>
        <w:t xml:space="preserve">                                                </w:t>
      </w:r>
      <w:r>
        <w:rPr>
          <w:sz w:val="28"/>
          <w:szCs w:val="28"/>
          <w:u w:val="single"/>
        </w:rPr>
        <w:t>от        .      .2025г.   №_______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>
      <w:pPr>
        <w:pStyle w:val="Normal"/>
        <w:spacing w:before="0"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«Обеспечение общественной безопасности</w:t>
      </w:r>
    </w:p>
    <w:p>
      <w:pPr>
        <w:pStyle w:val="Normal"/>
        <w:spacing w:before="0" w:after="11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Катав-Ивановском муниципальном районе»</w:t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СТРАТЕГИЧЕСКИЕ ПРИОРИТЕТЫ </w:t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муниципальной программы «Обеспечение общественной безопасности</w:t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b/>
          <w:sz w:val="28"/>
          <w:szCs w:val="28"/>
          <w:lang w:eastAsia="en-US"/>
        </w:rPr>
        <w:t>в Катав-Ивановском муниципальном районе»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tabs>
          <w:tab w:val="clear" w:pos="708"/>
          <w:tab w:val="left" w:pos="851" w:leader="none"/>
        </w:tabs>
        <w:spacing w:lineRule="auto" w:line="360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 Оценка текущего состояния в сфере обеспечения общественного порядка и противодействие преступности на территории </w:t>
      </w:r>
    </w:p>
    <w:p>
      <w:pPr>
        <w:pStyle w:val="ConsPlusNormal"/>
        <w:tabs>
          <w:tab w:val="clear" w:pos="708"/>
          <w:tab w:val="left" w:pos="851" w:leader="none"/>
        </w:tabs>
        <w:spacing w:lineRule="auto" w:line="36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1020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Катав-Ивановского  муниципального района.</w:t>
      </w:r>
      <w:bookmarkStart w:id="1" w:name="_GoBack"/>
      <w:bookmarkEnd w:id="0"/>
      <w:bookmarkEnd w:id="1"/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определены направления совершения системы профилактики правонарушений и противодействия преступности в Российской Федерации.</w:t>
      </w:r>
    </w:p>
    <w:p>
      <w:pPr>
        <w:pStyle w:val="Normal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качестве основных угроз общественной безопасности выделяются: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 радикальных общественных объединений и группировок, использующих националистическую и религиозно-экстремистскую идеологию, частных лиц,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стране, включая инспирирование "цветных революций", разрушение традиционных российских духовно-нравственных ценностей;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деятельность, связанная с использованием информационных и коммуникационных технологий для распространения и пропаганды идеологии фашизма, экстремизма, терроризма и сепаратизма, нанесения ущерба гражданскому миру, политической и социальной стабильности в обществе;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преступные посягательства, направленные против личности, собственности, государственной власти, общественной и экономической безопасности;</w:t>
      </w:r>
    </w:p>
    <w:p>
      <w:pPr>
        <w:pStyle w:val="Normal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коррупция.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правонарушений и борьба с преступностью, обеспечение общественной безопасности являются непременным условием стабильного существования и поступательного развития общества, создания достойных условий и уровня жизни граждан.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Одними из наиболее значимых социально-опасных проблем современности, угрожающими социальной безопасности государства и общества, являются детская беспризорность и безнадзорность. 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факторы являются одной из основных причин и условий формирования противоправного поведения у подростков. Это семейное неблагополучие, алкоголизм, наркомания, социальное сиротство, невыполнение родителями обязанностей по воспитанию детей, жестокое обращение с детьми, бродяжничество, попрошайничество, вовлечение подростков в преступную деятельность со стороны взрослых лиц.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Особого внимания требуют вопросы усиления ответственности родителей за воспитание и обучение их несовершеннолетних детей, совершенствования подходов в области защиты прав несовершеннолетних, использования современных технологий работы с семьей.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этих и других вопросов, связанных с безнадзорностью и правонарушениями несовершеннолетних, напрямую зависит от обеспечения комплексного подхода и уровня взаимодействия всех ведомств и организаций, ответственных за проведение воспитательной и профилактической работы с подростками и родителями. </w:t>
      </w:r>
    </w:p>
    <w:p>
      <w:pPr>
        <w:pStyle w:val="Normal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Эффективное решение данных проблем может быть достигнуто путем реализации согласованного комплекса мероприятий: </w:t>
      </w:r>
    </w:p>
    <w:p>
      <w:pPr>
        <w:pStyle w:val="Normal"/>
        <w:spacing w:lineRule="auto" w:line="360"/>
        <w:ind w:firstLine="709"/>
        <w:jc w:val="both"/>
        <w:rPr/>
      </w:pPr>
      <w:hyperlink r:id="rId2">
        <w:r>
          <w:rPr>
            <w:rStyle w:val="W"/>
            <w:color w:val="000000" w:themeColor="text1"/>
            <w:sz w:val="28"/>
            <w:szCs w:val="28"/>
          </w:rPr>
          <w:t>предупреждение</w:t>
        </w:r>
      </w:hyperlink>
      <w:r>
        <w:rPr>
          <w:rStyle w:val="W"/>
          <w:color w:val="000000" w:themeColor="text1"/>
          <w:sz w:val="28"/>
          <w:szCs w:val="28"/>
        </w:rPr>
        <w:t xml:space="preserve"> </w:t>
      </w:r>
      <w:r>
        <w:rPr>
          <w:rStyle w:val="W"/>
          <w:sz w:val="28"/>
          <w:szCs w:val="28"/>
        </w:rPr>
        <w:t>безнадзорности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беспризорности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правонарушений и антиобщественных действий несовершеннолетних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выявление и устранение причин и условий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способствующих этому: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Style w:val="W"/>
          <w:sz w:val="28"/>
          <w:szCs w:val="28"/>
        </w:rPr>
        <w:t>- обеспечение защиты прав и законных интересов несовершеннолетних</w:t>
      </w:r>
      <w:r>
        <w:rPr>
          <w:sz w:val="28"/>
          <w:szCs w:val="28"/>
        </w:rPr>
        <w:t>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Style w:val="W"/>
          <w:sz w:val="28"/>
          <w:szCs w:val="28"/>
        </w:rPr>
        <w:t>- социально</w:t>
      </w:r>
      <w:r>
        <w:rPr>
          <w:sz w:val="28"/>
          <w:szCs w:val="28"/>
        </w:rPr>
        <w:t>-</w:t>
      </w:r>
      <w:r>
        <w:rPr>
          <w:rStyle w:val="W"/>
          <w:sz w:val="28"/>
          <w:szCs w:val="28"/>
        </w:rPr>
        <w:t xml:space="preserve">педагогическая </w:t>
      </w:r>
      <w:hyperlink r:id="rId3">
        <w:r>
          <w:rPr>
            <w:rStyle w:val="W"/>
            <w:color w:val="000000" w:themeColor="text1"/>
            <w:sz w:val="28"/>
            <w:szCs w:val="28"/>
          </w:rPr>
          <w:t>реабилитация</w:t>
        </w:r>
      </w:hyperlink>
      <w:r>
        <w:rPr>
          <w:rStyle w:val="W"/>
          <w:color w:val="000000" w:themeColor="text1"/>
          <w:sz w:val="28"/>
          <w:szCs w:val="28"/>
        </w:rPr>
        <w:t xml:space="preserve"> </w:t>
      </w:r>
      <w:r>
        <w:rPr>
          <w:rStyle w:val="W"/>
          <w:sz w:val="28"/>
          <w:szCs w:val="28"/>
        </w:rPr>
        <w:t>несовершеннолетних</w:t>
      </w:r>
      <w:r>
        <w:rPr>
          <w:sz w:val="28"/>
          <w:szCs w:val="28"/>
        </w:rPr>
        <w:t xml:space="preserve">, </w:t>
      </w:r>
      <w:r>
        <w:rPr>
          <w:rStyle w:val="W"/>
          <w:sz w:val="28"/>
          <w:szCs w:val="28"/>
        </w:rPr>
        <w:t>находящихся в социально-опасном положении</w:t>
      </w:r>
      <w:r>
        <w:rPr>
          <w:sz w:val="28"/>
          <w:szCs w:val="28"/>
        </w:rPr>
        <w:t>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Style w:val="W"/>
          <w:sz w:val="28"/>
          <w:szCs w:val="28"/>
        </w:rPr>
        <w:t>- выявление и пресечение случаев вовлечения несовершеннолетних в совершение преступлений антиобщественных действий.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наркоситуация характеризуется сохранением негативных тенденций в сфере незаконного оборота и незаконного употребления наркотиков, что представляет серьезную угрозу здоровью населения, экономике, правопорядку. Прогрессирующее ухудшение наркоситуации сопровождается неуклонным «омоложением» современной наркомании.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Распространение незаконного оборота и незаконного потребления наркотиков обусловлено целым рядом взаимосвязанных факторов. Значительное влияние на динамику развития оказывает распространение различных "дизайнерских" синтетических наркотиков. Они составляют конкуренцию находящимся в незаконном обороте ранее известным видам наркотиков, что влечет за собой постоянное изменение структуры наркорынка и маршрутов наркотрафика, а также расширение круга лиц, вовлеченных в оборот этих веществ.</w:t>
      </w:r>
    </w:p>
    <w:p>
      <w:pPr>
        <w:pStyle w:val="Normal"/>
        <w:spacing w:lineRule="auto" w:line="360"/>
        <w:ind w:firstLine="709"/>
        <w:jc w:val="both"/>
        <w:rPr/>
      </w:pPr>
      <w:hyperlink r:id="rId4">
        <w:r>
          <w:rPr>
            <w:sz w:val="28"/>
            <w:szCs w:val="28"/>
          </w:rPr>
          <w:t>Стратегией</w:t>
        </w:r>
      </w:hyperlink>
      <w:r>
        <w:rPr>
          <w:sz w:val="28"/>
          <w:szCs w:val="28"/>
        </w:rPr>
        <w:t xml:space="preserve"> государственной антинаркотической политики Российской Федерации до 2030 года, утвержденной </w:t>
      </w:r>
      <w:hyperlink r:id="rId5">
        <w:r>
          <w:rPr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Федерации от 23 ноября 2020 года N733 "Об утверждении Стратегии государственной антинаркотической политики Российской Федерации на период до 2030 года", в качестве приоритетных направлений деятельности определены: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предложения наркотиков путем целенаправленного пресечения их нелегального производства и оборота;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спроса на наркотики путем совершенствования системы профилактической, лечебной и реабилитационной работы.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комплекса межведомственных мер в рамках настоящей муниципальной программы, преследует предотвращение употребления любого наркотика у здоровой части населения (в первую очередь у несовершеннолетних),  посредством информирования учащихся о негативных последствиях приема наркотических и иных психоактивных средств на физическое и психическое здоровье; обеспечение детей и молодежи полной информацией о проблеме наркомании и обеспечение свободы выбора при максимальной информированности;  развития определенных психологических навыков в противостоянии групповому давлению, в решении конфликтной ситуации, в умении сделать правильный выбор в ситуации предложения наркотиков. А также  раннее выявление и активное лечение лиц употребляющих наркотики.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Ситуация в сфере борьбы с терроризмом остается напряженной. Учитывая поступающую в правоохранительные органы информацию об активизации деятельности членов незаконных формирований по планированию террористических акций в различных городах страны, терроризм приобретает характер реальной угрозы для безопасности населения муниципального района. Международный и отечественный опыт противодействия терроризму свидетельствуют о том, что силовые методы способны предупредить лишь конкретную угрозу совершения террористического акта. Для обеспечения снижения угрозы терроризма необходимо разрушить саму систему его воспроизводства, что возможно лишь при проблемно-целевом планировании. Для решения этой задачи разработана данная муниципальная программа, цель которой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Необходим комплексный подход в противодействии криминальной среде, консолидации сил и средств на приоритетных направлениях работы. Предлагаемые мероприятия призваны укрепить меры по профилактике терроризма, устранению причин и условий, способствующих его проявлению, обеспечению защищенности объектов от возможных террористических посягательств.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pacing w:lineRule="auto" w:line="36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</w:t>
      </w:r>
    </w:p>
    <w:p>
      <w:pPr>
        <w:pStyle w:val="ConsPlusNormal"/>
        <w:suppressAutoHyphens w:val="false"/>
        <w:spacing w:lineRule="auto" w:line="360"/>
        <w:ind w:firstLine="709"/>
        <w:jc w:val="both"/>
        <w:rPr/>
      </w:pPr>
      <w:r>
        <w:rPr>
          <w:rFonts w:ascii="Times New Roman" w:hAnsi="Times New Roman"/>
          <w:color w:val="000000" w:themeColor="text1"/>
          <w:sz w:val="28"/>
          <w:szCs w:val="28"/>
        </w:rPr>
        <w:t>Приоритеты муниципальной политики в сфере реализации муниципальной программы определены:</w:t>
      </w:r>
      <w:r>
        <w:rPr>
          <w:rFonts w:cs="Times New Roman CYR" w:ascii="Times New Roman" w:hAnsi="Times New Roman"/>
          <w:color w:val="000000" w:themeColor="text1"/>
          <w:sz w:val="28"/>
          <w:szCs w:val="28"/>
        </w:rPr>
        <w:tab/>
        <w:tab/>
        <w:tab/>
        <w:tab/>
        <w:tab/>
        <w:tab/>
        <w:tab/>
        <w:tab/>
        <w:t>В Концепции общественной безопасности в Российской Федерации, утверждённой Президентом РФ (от 14.11.2013 N Пр-2685), определено, что целями обеспечения общественной безопасности являются достижение и поддержание необходимого уровня защищенности прав и свобод человека и гражданина, прав и законных интересов организаций и общественных объединений, материальных и духовных ценностей общества, здоровья людей от угроз криминального характера, а также риска возникновения чрезвычайных ситуаций.</w:t>
      </w:r>
    </w:p>
    <w:p>
      <w:pPr>
        <w:pStyle w:val="ConsPlusNormal"/>
        <w:suppressAutoHyphens w:val="false"/>
        <w:spacing w:lineRule="auto" w:line="360"/>
        <w:ind w:firstLine="709"/>
        <w:jc w:val="both"/>
        <w:rPr/>
      </w:pPr>
      <w:r>
        <w:rPr>
          <w:rFonts w:cs="Times New Roman CYR" w:ascii="Times New Roman" w:hAnsi="Times New Roman"/>
          <w:color w:val="000000" w:themeColor="text1"/>
          <w:sz w:val="28"/>
          <w:szCs w:val="28"/>
        </w:rPr>
        <w:t xml:space="preserve">Запланированные программные мероприятия также полностью отвечают Стратегии социально-экономического развития Катав-Ивановского района, среди целей которой - повышение уровня и качества жизни населения района и обеспечение комфортной среды проживания, информирование населения и пропаганда культуры безопасности жизнедеятельности, что прямо зависит от снижения уровня криминальных угроз, чрезвычайных ситуаций и защиты прав граждан. 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</w:p>
    <w:p>
      <w:pPr>
        <w:pStyle w:val="ConsPlusNormal"/>
        <w:suppressAutoHyphens w:val="false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Для достижения стратегических целей и задач социально-экономического развития Катав-Ивановского муниципального района определены цель и задачи, сформированы структура и система показателей муниципальной программы.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Основная цель программы - создание условий для профилактики преступлений и иных правонарушений на территории Катав-Ивановского муниципального района.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pacing w:lineRule="auto" w:line="36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</w:t>
      </w:r>
    </w:p>
    <w:p>
      <w:pPr>
        <w:pStyle w:val="ConsPlusNormal"/>
        <w:spacing w:lineRule="auto" w:line="360"/>
        <w:ind w:firstLine="709"/>
        <w:jc w:val="both"/>
        <w:rPr/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рамках Муниципальной программы обеспечена взаимосвязь с национальными целями государственной </w:t>
      </w:r>
      <w:hyperlink r:id="rId6">
        <w:r>
          <w:rPr>
            <w:rFonts w:ascii="Times New Roman" w:hAnsi="Times New Roman"/>
            <w:color w:val="000000" w:themeColor="text1"/>
            <w:sz w:val="28"/>
            <w:szCs w:val="28"/>
          </w:rPr>
          <w:t>программы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Челябинской области «Обеспечение общественной безопасности в Челябинской области</w:t>
      </w:r>
      <w:r>
        <w:rPr>
          <w:rFonts w:cs="Times New Roman CYR" w:ascii="Times New Roman" w:hAnsi="Times New Roman"/>
          <w:color w:val="000000" w:themeColor="text1"/>
          <w:sz w:val="28"/>
          <w:szCs w:val="28"/>
        </w:rPr>
        <w:t>» до 2030 года.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реализуется в разрезе трех направлений: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) «Обеспечение общественной безопасности граждан на территории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>
      <w:pPr>
        <w:pStyle w:val="ConsPlusNormal"/>
        <w:spacing w:lineRule="auto" w:line="36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color w:val="000000" w:themeColor="text1"/>
          <w:sz w:val="28"/>
          <w:szCs w:val="28"/>
        </w:rPr>
        <w:t>«Противодействие распространению наркомании на территории Катав-Ивановского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>
      <w:pPr>
        <w:pStyle w:val="ConsPlusNormal"/>
        <w:tabs>
          <w:tab w:val="clear" w:pos="708"/>
          <w:tab w:val="left" w:pos="851" w:leader="none"/>
          <w:tab w:val="left" w:pos="1418" w:leader="none"/>
        </w:tabs>
        <w:spacing w:lineRule="auto" w:line="360"/>
        <w:ind w:firstLine="709"/>
        <w:jc w:val="both"/>
        <w:rPr/>
      </w:pPr>
      <w:r>
        <w:rPr>
          <w:rFonts w:ascii="Times New Roman" w:hAnsi="Times New Roman"/>
          <w:sz w:val="28"/>
          <w:szCs w:val="28"/>
        </w:rPr>
        <w:t>3) «Противодействие террористическим проявлениям на территории Катав-Ивановского муниципального района».</w:t>
      </w:r>
    </w:p>
    <w:p>
      <w:pPr>
        <w:pStyle w:val="ConsPlusNormal"/>
        <w:tabs>
          <w:tab w:val="clear" w:pos="708"/>
          <w:tab w:val="left" w:pos="851" w:leader="none"/>
          <w:tab w:val="left" w:pos="1418" w:leader="none"/>
        </w:tabs>
        <w:spacing w:lineRule="auto" w:line="360"/>
        <w:ind w:firstLine="709"/>
        <w:jc w:val="both"/>
        <w:rPr/>
      </w:pPr>
      <w:r>
        <w:rPr/>
      </w:r>
    </w:p>
    <w:p>
      <w:pPr>
        <w:pStyle w:val="ConsPlusNormal"/>
        <w:spacing w:lineRule="auto" w:line="36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Задачи Муниципальной программы сформированы с учетом национальных целей развития Российской Федерации.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рамках программы обозначены задачи: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создание условий безопасности граждан на территории Катав-Ивановского муниципального района;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снижение уровня распространения наркомании, алкоголизма, табакокурения и связанных с ними социально-негативных явлений;</w:t>
      </w:r>
    </w:p>
    <w:p>
      <w:pPr>
        <w:pStyle w:val="ConsPlusNormal"/>
        <w:spacing w:lineRule="auto" w:line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</w:r>
    </w:p>
    <w:p>
      <w:pPr>
        <w:pStyle w:val="ConsPlusNormal"/>
        <w:widowControl/>
        <w:numPr>
          <w:ilvl w:val="0"/>
          <w:numId w:val="0"/>
        </w:numPr>
        <w:spacing w:lineRule="auto" w:line="360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целях решения вышеуказанных задач запланирована система мероприятий, отраженных в паспортах структурных элементов муниципальных программ.</w:t>
      </w:r>
    </w:p>
    <w:p>
      <w:pPr>
        <w:pStyle w:val="ConsPlusNormal"/>
        <w:widowControl/>
        <w:numPr>
          <w:ilvl w:val="0"/>
          <w:numId w:val="0"/>
        </w:numPr>
        <w:spacing w:lineRule="auto" w:line="360"/>
        <w:ind w:left="0" w:firstLine="709"/>
        <w:jc w:val="both"/>
        <w:outlineLvl w:val="1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  <w:szCs w:val="22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№1к программе </w:t>
      </w:r>
    </w:p>
    <w:p>
      <w:pPr>
        <w:pStyle w:val="NormalWeb"/>
        <w:spacing w:beforeAutospacing="0" w:before="0" w:afterAutospacing="0" w:after="0"/>
        <w:ind w:left="3402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«Обеспечение общественной безопасности </w:t>
      </w:r>
      <w:r>
        <w:rPr>
          <w:rFonts w:eastAsia="Calibri" w:eastAsiaTheme="minorHAnsi"/>
          <w:sz w:val="28"/>
          <w:szCs w:val="28"/>
          <w:lang w:eastAsia="en-US"/>
        </w:rPr>
        <w:t>в Катав-Ивановском муниципальном районе»</w:t>
      </w:r>
    </w:p>
    <w:p>
      <w:pPr>
        <w:pStyle w:val="ConsPlusNormal"/>
        <w:widowControl/>
        <w:numPr>
          <w:ilvl w:val="0"/>
          <w:numId w:val="0"/>
        </w:numPr>
        <w:spacing w:lineRule="auto" w:line="276"/>
        <w:ind w:left="0" w:hanging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Раздел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b/>
          <w:sz w:val="28"/>
          <w:szCs w:val="28"/>
        </w:rPr>
        <w:t>. ПАСПОРТ</w:t>
      </w:r>
    </w:p>
    <w:p>
      <w:pPr>
        <w:pStyle w:val="ConsPlusNormal"/>
        <w:widowControl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муниципальной программы «Обеспечение общественной безопасности</w:t>
      </w:r>
    </w:p>
    <w:p>
      <w:pPr>
        <w:pStyle w:val="ConsPlusNormal"/>
        <w:widowControl/>
        <w:numPr>
          <w:ilvl w:val="0"/>
          <w:numId w:val="0"/>
        </w:numPr>
        <w:spacing w:lineRule="auto" w:line="276" w:before="0" w:after="240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en-US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sz w:val="28"/>
          <w:szCs w:val="28"/>
          <w:lang w:eastAsia="en-US"/>
        </w:rPr>
        <w:t>в Катав-Ивановском муниципальном районе»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1. Основные положения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406" w:type="dxa"/>
        <w:jc w:val="left"/>
        <w:tblInd w:w="-5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4139"/>
        <w:gridCol w:w="1426"/>
        <w:gridCol w:w="4841"/>
      </w:tblGrid>
      <w:tr>
        <w:trPr>
          <w:trHeight w:val="947" w:hRule="atLeast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Полушкина Татьяна Павловна, заместитель Главы Катав-Ивановского муниципального района по социально-культурной политике</w:t>
            </w:r>
          </w:p>
        </w:tc>
      </w:tr>
      <w:tr>
        <w:trPr>
          <w:trHeight w:val="907" w:hRule="atLeast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  <w:tr>
        <w:trPr/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Управление образования Администрации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 Управление культуры Администрации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 Управление социальной защиты населения Администрации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 Управление по физической культуре и спорту Администрации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5. Межведомственная комиссия по профилактике преступлений и иных правонарушений в Катав-Ивановском районе;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6. Межведомственная антинаркотическая комиссия в Катав-Ивановском муниципальном районе;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7. Антитеррористическая комиссия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8. Комиссия по делам несовершеннолетних и защите их прав в Катав-Ивановском муниципальном районе.</w:t>
            </w:r>
          </w:p>
        </w:tc>
      </w:tr>
      <w:tr>
        <w:trPr/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Управление коммунального хозяйства, транспорта и связи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 ГБУЗ "Районная больница г. Катав-Ивановск";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 ОКУ «Центр занятости населения»;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4. Отдел МВД России по Катав-Ивановскому району Челябинской области;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5. МОВО по г.Катав-Ивановску и г.Усть-Катаву ФГКУ «УВО ВНГ России по Челябинской области»;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6. ОВО по ЗАТО г. Трехгорный филиала ФГКУ «УВО ВНГ России по Челябинской области»;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7. Отдел ФСБ России в г. Трехгорный (по согласованию).</w:t>
            </w:r>
          </w:p>
        </w:tc>
      </w:tr>
      <w:tr>
        <w:trPr/>
        <w:tc>
          <w:tcPr>
            <w:tcW w:w="4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— 2027 гг.</w:t>
            </w:r>
          </w:p>
        </w:tc>
      </w:tr>
      <w:tr>
        <w:trPr/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Создание условий для профилактики преступлений и иных правонарушений на территории Катав-Ивановского муниципального района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Задача 1 - создание условий безопасности граждан на территории Катав-Ивановского муниципального района;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Задача 2 - снижение уровня распространения наркомании, алкоголизма, табакокурения и связанных с ними социально-негативных явлений;</w:t>
            </w:r>
          </w:p>
        </w:tc>
      </w:tr>
      <w:tr>
        <w:trPr/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>
        <w:trPr/>
        <w:tc>
          <w:tcPr>
            <w:tcW w:w="41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Перечень структурных элементов  муниципальной программы</w:t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Комплекс процессных мероприятий «Обеспечение общественной безопасности граждан на территории Катав-Ивановского муниципального района»</w:t>
            </w:r>
          </w:p>
        </w:tc>
      </w:tr>
      <w:tr>
        <w:trPr/>
        <w:tc>
          <w:tcPr>
            <w:tcW w:w="41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>
        <w:trPr/>
        <w:tc>
          <w:tcPr>
            <w:tcW w:w="41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3. Комплекс процессных мероприятий «Противодействие террористическим проявлениям на территории Катав-Ивановского муниципального района»</w:t>
            </w:r>
          </w:p>
        </w:tc>
      </w:tr>
      <w:tr>
        <w:trPr/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100 000,00 рублей – МБ, 5348 000,00 — источник не определён (за счет средств программ соисполнителей).</w:t>
            </w:r>
          </w:p>
        </w:tc>
      </w:tr>
      <w:tr>
        <w:trPr>
          <w:trHeight w:val="1105" w:hRule="atLeast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Связь с национальными целями развития Российской Федерации отсутствует/ Государственная программа Российской Федерации «Обеспечение общественного порядка и противодействие преступности» от 15 апреля 2014 г. № 345.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sectPr>
          <w:type w:val="nextPage"/>
          <w:pgSz w:w="11906" w:h="16838"/>
          <w:pgMar w:left="1701" w:right="850" w:gutter="0" w:header="0" w:top="750" w:footer="0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bookmarkStart w:id="2" w:name="P533"/>
      <w:bookmarkEnd w:id="2"/>
      <w:r>
        <w:rPr>
          <w:rFonts w:cs="Times New Roman" w:ascii="Times New Roman" w:hAnsi="Times New Roman"/>
          <w:b/>
          <w:bCs/>
          <w:sz w:val="28"/>
          <w:szCs w:val="28"/>
        </w:rPr>
        <w:t>2. Показатели муниципальной программы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pPr w:bottomFromText="0" w:horzAnchor="margin" w:leftFromText="180" w:rightFromText="180" w:tblpX="0" w:tblpY="616" w:topFromText="0" w:vertAnchor="text"/>
        <w:tblW w:w="15088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48"/>
        <w:gridCol w:w="3042"/>
        <w:gridCol w:w="2338"/>
        <w:gridCol w:w="1770"/>
        <w:gridCol w:w="1771"/>
        <w:gridCol w:w="1779"/>
        <w:gridCol w:w="1769"/>
        <w:gridCol w:w="1869"/>
      </w:tblGrid>
      <w:tr>
        <w:trPr>
          <w:trHeight w:val="1752" w:hRule="atLeast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Базовое значение за год</w:t>
            </w:r>
          </w:p>
        </w:tc>
        <w:tc>
          <w:tcPr>
            <w:tcW w:w="5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>
        <w:trPr>
          <w:trHeight w:val="873" w:hRule="atLeast"/>
        </w:trPr>
        <w:tc>
          <w:tcPr>
            <w:tcW w:w="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3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8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69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>
        <w:trPr>
          <w:trHeight w:val="690" w:hRule="atLeast"/>
        </w:trPr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Цель муниципальной программы «Создание условий для профилактики преступлений и иных правонарушений на территории Катав-Ивановского муниципального района»</w:t>
            </w:r>
          </w:p>
        </w:tc>
      </w:tr>
      <w:tr>
        <w:trPr/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>
        <w:trPr/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2 - снижение уровня распространения наркомании, алкоголизма, табакокурения и связанных с ними социально-негативных явлений.</w:t>
            </w:r>
          </w:p>
        </w:tc>
      </w:tr>
      <w:tr>
        <w:trPr/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  <w:tr>
        <w:trPr/>
        <w:tc>
          <w:tcPr>
            <w:tcW w:w="1508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3 -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>
        <w:trPr/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совершенных террористических актов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и участники муниципальной программы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3. План достижения показателей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муниципальной программы в 2025 году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993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08"/>
        <w:gridCol w:w="3183"/>
        <w:gridCol w:w="1541"/>
        <w:gridCol w:w="1231"/>
        <w:gridCol w:w="447"/>
        <w:gridCol w:w="451"/>
        <w:gridCol w:w="1002"/>
        <w:gridCol w:w="448"/>
        <w:gridCol w:w="450"/>
        <w:gridCol w:w="448"/>
        <w:gridCol w:w="450"/>
        <w:gridCol w:w="448"/>
        <w:gridCol w:w="450"/>
        <w:gridCol w:w="1000"/>
        <w:gridCol w:w="451"/>
        <w:gridCol w:w="1000"/>
        <w:gridCol w:w="1485"/>
      </w:tblGrid>
      <w:tr>
        <w:trPr/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N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Цели/показатели муниципальной программы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Базовое значение 2024 г.</w:t>
            </w:r>
          </w:p>
        </w:tc>
        <w:tc>
          <w:tcPr>
            <w:tcW w:w="60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конец года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за достижение показателя</w:t>
            </w:r>
          </w:p>
        </w:tc>
      </w:tr>
      <w:tr>
        <w:trPr/>
        <w:tc>
          <w:tcPr>
            <w:tcW w:w="5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1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5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i/>
                <w:sz w:val="28"/>
                <w:szCs w:val="28"/>
              </w:rPr>
              <w:t>17</w:t>
            </w:r>
          </w:p>
        </w:tc>
      </w:tr>
      <w:tr>
        <w:trPr/>
        <w:tc>
          <w:tcPr>
            <w:tcW w:w="1499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1. Цель муниципальной программы "Создание условий для профилактики преступлений и иных правонарушений на территории Катав-Ивановского муниципального района"</w:t>
            </w:r>
          </w:p>
        </w:tc>
      </w:tr>
      <w:tr>
        <w:trPr/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22,31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Соисполнители и участники  муниципальной программы</w:t>
            </w:r>
          </w:p>
        </w:tc>
      </w:tr>
      <w:tr>
        <w:trPr/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Соисполнители и участники  муниципальной программы</w:t>
            </w:r>
          </w:p>
        </w:tc>
      </w:tr>
      <w:tr>
        <w:trPr/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Соисполнители и участники  муниципальной программы</w:t>
            </w:r>
          </w:p>
        </w:tc>
      </w:tr>
      <w:tr>
        <w:trPr/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Количество совершенных террористических актов</w:t>
            </w:r>
          </w:p>
        </w:tc>
        <w:tc>
          <w:tcPr>
            <w:tcW w:w="15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Соисполнители и участники  муниципальной программы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4. Структура 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940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93"/>
        <w:gridCol w:w="6016"/>
        <w:gridCol w:w="4470"/>
        <w:gridCol w:w="3660"/>
      </w:tblGrid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N п/п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Связь с показателями</w:t>
            </w:r>
          </w:p>
        </w:tc>
      </w:tr>
      <w:tr>
        <w:trPr/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4</w:t>
            </w:r>
          </w:p>
        </w:tc>
      </w:tr>
      <w:tr>
        <w:trPr/>
        <w:tc>
          <w:tcPr>
            <w:tcW w:w="14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Комплексы процессных мероприятий</w:t>
            </w:r>
          </w:p>
        </w:tc>
      </w:tr>
      <w:tr>
        <w:trPr/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1. Комплекс процессных мероприятий «Обеспечение общественной безопасности граждан на территории</w:t>
            </w:r>
          </w:p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Катав-Ивановского муниципального района»</w:t>
            </w:r>
          </w:p>
        </w:tc>
      </w:tr>
      <w:tr>
        <w:trPr/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Срок реализации: 2025-2027</w:t>
            </w:r>
          </w:p>
        </w:tc>
      </w:tr>
      <w:tr>
        <w:trPr>
          <w:trHeight w:val="223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Задача 1: Создание условий безопасности граждан на территории Катав-Ивановского муниципального района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Недопущение роста удельного веса преступлений;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</w:tr>
      <w:tr>
        <w:trPr/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numPr>
                <w:ilvl w:val="0"/>
                <w:numId w:val="2"/>
              </w:numPr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Недопущение роста преступлений на улицах и в общественных местах</w:t>
            </w:r>
          </w:p>
        </w:tc>
        <w:tc>
          <w:tcPr>
            <w:tcW w:w="3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</w:tr>
      <w:tr>
        <w:trPr/>
        <w:tc>
          <w:tcPr>
            <w:tcW w:w="14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>
        <w:trPr/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Срок реализации: 2025-2027</w:t>
            </w:r>
          </w:p>
        </w:tc>
      </w:tr>
      <w:tr>
        <w:trPr>
          <w:trHeight w:val="374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2.1.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2:  Снижение уровня распространения наркомании, алкоголизма, табакокурения и связанных с ними социально-негативных явлений.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Не допущен рост лиц, употребляющих наркотические вещества.</w:t>
            </w:r>
          </w:p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</w:r>
          </w:p>
          <w:p>
            <w:pPr>
              <w:pStyle w:val="ConsPlusNormal"/>
              <w:widowControl w:val="false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</w:tr>
      <w:tr>
        <w:trPr/>
        <w:tc>
          <w:tcPr>
            <w:tcW w:w="1493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3. Комплекс процессных мероприятий «Противодействие террористическим проявлениям на территории Катав-Ивановского муниципального района»</w:t>
            </w:r>
          </w:p>
        </w:tc>
      </w:tr>
      <w:tr>
        <w:trPr/>
        <w:tc>
          <w:tcPr>
            <w:tcW w:w="680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Ответственный за реализацию: 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81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Срок реализации: 2025-2027</w:t>
            </w:r>
          </w:p>
        </w:tc>
      </w:tr>
      <w:tr>
        <w:trPr>
          <w:trHeight w:val="3483" w:hRule="atLeast"/>
        </w:trPr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3.1.</w:t>
            </w:r>
          </w:p>
        </w:tc>
        <w:tc>
          <w:tcPr>
            <w:tcW w:w="6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Задача 3: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  <w:tc>
          <w:tcPr>
            <w:tcW w:w="4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numPr>
                <w:ilvl w:val="0"/>
                <w:numId w:val="4"/>
              </w:numPr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Недопущение террористических актов на территории Катав-Ивановского муниципального района;</w:t>
            </w:r>
          </w:p>
          <w:p>
            <w:pPr>
              <w:pStyle w:val="ConsPlusNormal"/>
              <w:widowControl w:val="false"/>
              <w:ind w:left="720" w:hang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</w:tc>
        <w:tc>
          <w:tcPr>
            <w:tcW w:w="3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Количество совершенных террористических актов на территории Катав-Ивановского муниципального района</w:t>
            </w:r>
          </w:p>
        </w:tc>
      </w:tr>
    </w:tbl>
    <w:p>
      <w:pPr>
        <w:sectPr>
          <w:type w:val="nextPage"/>
          <w:pgSz w:orient="landscape" w:w="16838" w:h="11906"/>
          <w:pgMar w:left="1134" w:right="1134" w:gutter="0" w:header="0" w:top="568" w:footer="0" w:bottom="85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bookmarkStart w:id="3" w:name="P880"/>
      <w:bookmarkEnd w:id="3"/>
      <w:r>
        <w:rPr>
          <w:rFonts w:cs="Times New Roman" w:ascii="Times New Roman" w:hAnsi="Times New Roman"/>
          <w:b/>
          <w:bCs/>
          <w:sz w:val="28"/>
          <w:szCs w:val="28"/>
        </w:rPr>
        <w:t>5. Финансовое обеспечение 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tbl>
      <w:tblPr>
        <w:tblW w:w="10408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4365"/>
        <w:gridCol w:w="1744"/>
        <w:gridCol w:w="1244"/>
        <w:gridCol w:w="1231"/>
        <w:gridCol w:w="1824"/>
      </w:tblGrid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6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>
        <w:trPr>
          <w:trHeight w:val="160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2027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Всего:</w:t>
            </w:r>
          </w:p>
        </w:tc>
      </w:tr>
      <w:tr>
        <w:trPr>
          <w:trHeight w:val="96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Всего, в т.ч.: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5448 000,00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5448 000,00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100 000,00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100 000,00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5348 000,00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5348 000,00</w:t>
            </w:r>
          </w:p>
        </w:tc>
      </w:tr>
      <w:tr>
        <w:trPr/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 Комплекс процессных мероприятий «Обеспечение общественной безопасности граждан на территории Катав-Ивановского муниципального района»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Всего, в т.ч.: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3229 000,00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3229 000,00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100 000,00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100 000,00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3129 000,00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3129 000,00</w:t>
            </w:r>
          </w:p>
        </w:tc>
      </w:tr>
      <w:tr>
        <w:trPr/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2. Комплекс процессных мероприятий «Противодействие распространению наркомании на территории Катав-Ивановского муниципального района»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Всего, в т.ч.: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1343 000,00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1343 000,00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1343 000,00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1343 000,00</w:t>
            </w:r>
          </w:p>
        </w:tc>
      </w:tr>
      <w:tr>
        <w:trPr/>
        <w:tc>
          <w:tcPr>
            <w:tcW w:w="104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3. Комплекс процессных мероприятий «Противодействие террористическим проявлениям на территории Катав-Ивановского муниципального района»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Всего, в т.ч.: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876 000,00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876 000,00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Источник не определен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(за счет средств программ соисполнителей)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876 000,00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876 000,00</w:t>
            </w:r>
          </w:p>
        </w:tc>
      </w:tr>
    </w:tbl>
    <w:p>
      <w:pPr>
        <w:sectPr>
          <w:type w:val="nextPage"/>
          <w:pgSz w:w="11906" w:h="16838"/>
          <w:pgMar w:left="993" w:right="850" w:gutter="0" w:header="0" w:top="1134" w:footer="0" w:bottom="993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Приложение 2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b/>
          <w:bCs/>
        </w:rPr>
      </w:pPr>
      <w:bookmarkStart w:id="4" w:name="P2312"/>
      <w:bookmarkEnd w:id="4"/>
      <w:r>
        <w:rPr>
          <w:rFonts w:cs="Times New Roman" w:ascii="Times New Roman" w:hAnsi="Times New Roman"/>
          <w:b/>
          <w:bCs/>
          <w:sz w:val="26"/>
          <w:szCs w:val="26"/>
        </w:rPr>
        <w:t>ПАСПОРТ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  <w:u w:val="single"/>
        </w:rPr>
        <w:t>«Обеспечение общественной безопасности граждан на территории Катав-Ивановского муниципального района»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1. Основные положения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168" w:type="dxa"/>
        <w:jc w:val="lef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6096"/>
        <w:gridCol w:w="3118"/>
        <w:gridCol w:w="5954"/>
      </w:tblGrid>
      <w:tr>
        <w:trPr/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" w:eastAsiaTheme="minorEastAsia"/>
                <w:sz w:val="26"/>
                <w:szCs w:val="26"/>
              </w:rPr>
            </w:pPr>
            <w:r>
              <w:rPr>
                <w:rFonts w:eastAsia="" w:eastAsiaTheme="minorEastAsia"/>
                <w:sz w:val="26"/>
                <w:szCs w:val="26"/>
              </w:rPr>
              <w:t>Ласкин Алексей Иванович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p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pPr w:bottomFromText="0" w:horzAnchor="margin" w:leftFromText="180" w:rightFromText="180" w:tblpX="0" w:tblpY="616" w:topFromText="0" w:vertAnchor="text"/>
        <w:tblW w:w="15088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48"/>
        <w:gridCol w:w="3042"/>
        <w:gridCol w:w="2338"/>
        <w:gridCol w:w="1770"/>
        <w:gridCol w:w="1771"/>
        <w:gridCol w:w="1779"/>
        <w:gridCol w:w="1772"/>
        <w:gridCol w:w="1866"/>
      </w:tblGrid>
      <w:tr>
        <w:trPr>
          <w:trHeight w:val="1752" w:hRule="atLeast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>
        <w:trPr>
          <w:trHeight w:val="873" w:hRule="atLeast"/>
        </w:trPr>
        <w:tc>
          <w:tcPr>
            <w:tcW w:w="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69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>
        <w:trPr/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37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62"/>
        <w:gridCol w:w="2824"/>
        <w:gridCol w:w="2057"/>
        <w:gridCol w:w="1761"/>
        <w:gridCol w:w="2203"/>
        <w:gridCol w:w="1443"/>
        <w:gridCol w:w="1448"/>
        <w:gridCol w:w="1447"/>
        <w:gridCol w:w="1425"/>
      </w:tblGrid>
      <w:tr>
        <w:trPr/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Единицы измерения (по </w:t>
            </w:r>
            <w:hyperlink r:id="rId7">
              <w:r>
                <w:rPr>
                  <w:rFonts w:cs="Times New Roman" w:ascii="Times New Roman" w:hAnsi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Базовое значение за год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>
        <w:trPr/>
        <w:tc>
          <w:tcPr>
            <w:tcW w:w="7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20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Анализ и сравнение оперативной обстановки на территории Катав-Ивановского муниципального района с аналогичным периодом прошлого года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22,31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22,31</w:t>
            </w:r>
          </w:p>
        </w:tc>
      </w:tr>
      <w:tr>
        <w:trPr/>
        <w:tc>
          <w:tcPr>
            <w:tcW w:w="7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6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Анализ и сравнение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3,86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3,86</w:t>
            </w:r>
          </w:p>
        </w:tc>
      </w:tr>
      <w:tr>
        <w:trPr/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 Проведение организационных мероприятий по привлечению граждан к деятельности добровольных народных дружин по охране общественного порядка на территории района. Содействие в функционировании добровольных народных дружин на территории района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Размещение информации в СМИ, работа в трудовых коллективах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Привлечено граждан к деятельности добровольных народных дружин по охране общественного порядка на территории района.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Не менее 2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Не менее 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Не менее 2</w:t>
            </w:r>
          </w:p>
        </w:tc>
      </w:tr>
      <w:tr>
        <w:trPr/>
        <w:tc>
          <w:tcPr>
            <w:tcW w:w="7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 Организация обмена информацией и необходимыми материалами между администрацией поселения и администрацией Катав-Ивановского муниципального района, ОМВД, миграционной службы и другими структурами по охране правопорядка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Осуществление обмена информацией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да/нет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Наличие информационного обмена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28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590"/>
        <w:gridCol w:w="1919"/>
        <w:gridCol w:w="1919"/>
        <w:gridCol w:w="1919"/>
        <w:gridCol w:w="1498"/>
      </w:tblGrid>
      <w:tr>
        <w:trPr/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рублей</w:t>
            </w:r>
          </w:p>
        </w:tc>
      </w:tr>
      <w:tr>
        <w:trPr/>
        <w:tc>
          <w:tcPr>
            <w:tcW w:w="5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Всего: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 на реализацию комплекса процессных мероприятий, в т.ч.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3229 000,00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3229 000,00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Местный 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100 000,00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3129 000,00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3129 000,00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 текущем году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49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323"/>
        <w:gridCol w:w="2039"/>
        <w:gridCol w:w="1816"/>
        <w:gridCol w:w="7791"/>
      </w:tblGrid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Вид подтверждающего документа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</w:tr>
      <w:tr>
        <w:trPr/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1 - создание условий безопасности граждан на территории Катав-Ивановского муниципального района.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 1: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Укрепление правопорядка и повышение уровня общественной безопасности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X</w:t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 2: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Проведение организационных мероприятий по привлечению граждан к деятельности добровольных народных дружин по охране общественного порядка на территории района. Содействие в функционировании добровольных народных дружин на территории района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10.01.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10.07.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</w:tc>
        <w:tc>
          <w:tcPr>
            <w:tcW w:w="1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77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20" w:hRule="atLeast"/>
        </w:trPr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 3: Организация обмена информацией и необходимыми материалами между администрацией поселения и администрацией Катав-Ивановского муниципального района, ОМВД, миграционной службы и другими структурами по охране правопорядка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10.01.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10.07.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</w:tc>
        <w:tc>
          <w:tcPr>
            <w:tcW w:w="1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77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3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b/>
          <w:bCs/>
        </w:rPr>
      </w:pPr>
      <w:bookmarkStart w:id="5" w:name="P2312_Копия_1"/>
      <w:bookmarkEnd w:id="5"/>
      <w:r>
        <w:rPr>
          <w:rFonts w:cs="Times New Roman" w:ascii="Times New Roman" w:hAnsi="Times New Roman"/>
          <w:b/>
          <w:bCs/>
          <w:sz w:val="26"/>
          <w:szCs w:val="26"/>
        </w:rPr>
        <w:t>ПАСПОРТ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  <w:u w:val="single"/>
        </w:rPr>
        <w:t>«Противодействие распространению наркомании на территории Катав-Ивановского муниципального района»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6" w:name="_GoBack_Копия_1"/>
      <w:bookmarkStart w:id="7" w:name="_GoBack_Копия_1"/>
      <w:bookmarkEnd w:id="7"/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1. Основные положения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168" w:type="dxa"/>
        <w:jc w:val="lef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387"/>
        <w:gridCol w:w="3260"/>
        <w:gridCol w:w="6521"/>
      </w:tblGrid>
      <w:tr>
        <w:trPr/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" w:eastAsiaTheme="minorEastAsia"/>
                <w:sz w:val="26"/>
                <w:szCs w:val="26"/>
              </w:rPr>
            </w:pPr>
            <w:r>
              <w:rPr>
                <w:rFonts w:eastAsia="" w:eastAsiaTheme="minorEastAsia"/>
                <w:sz w:val="26"/>
                <w:szCs w:val="26"/>
              </w:rPr>
              <w:t>Ласкин Алексей Иванович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tbl>
      <w:tblPr>
        <w:tblpPr w:bottomFromText="0" w:horzAnchor="margin" w:leftFromText="180" w:rightFromText="180" w:tblpX="0" w:tblpY="616" w:topFromText="0" w:vertAnchor="text"/>
        <w:tblW w:w="15088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48"/>
        <w:gridCol w:w="3042"/>
        <w:gridCol w:w="2338"/>
        <w:gridCol w:w="1770"/>
        <w:gridCol w:w="1771"/>
        <w:gridCol w:w="1779"/>
        <w:gridCol w:w="1772"/>
        <w:gridCol w:w="1866"/>
      </w:tblGrid>
      <w:tr>
        <w:trPr>
          <w:trHeight w:val="1752" w:hRule="atLeast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>
        <w:trPr>
          <w:trHeight w:val="873" w:hRule="atLeast"/>
        </w:trPr>
        <w:tc>
          <w:tcPr>
            <w:tcW w:w="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69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>
        <w:trPr/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2 - снижение уровня распространения наркомании, алкоголизма, табакокурения и связанных с ними социально-негативных явлений.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37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62"/>
        <w:gridCol w:w="2824"/>
        <w:gridCol w:w="2057"/>
        <w:gridCol w:w="1761"/>
        <w:gridCol w:w="2203"/>
        <w:gridCol w:w="1443"/>
        <w:gridCol w:w="1448"/>
        <w:gridCol w:w="1447"/>
        <w:gridCol w:w="1425"/>
      </w:tblGrid>
      <w:tr>
        <w:trPr/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Единицы измерения (по </w:t>
            </w:r>
            <w:hyperlink r:id="rId8">
              <w:r>
                <w:rPr>
                  <w:rFonts w:cs="Times New Roman" w:ascii="Times New Roman" w:hAnsi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Базовое значение за год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2 - снижение уровня распространения наркомании, алкоголизма, табакокурения и связанных с ними социально-негативных явлений.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Организация профилактической работы по противодействию распространению наркомании в Катав-Ивановском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Проведение межведомственных профилактических акций по профилактике безнадзорности и правонарушений несовершеннолетних.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Мероприятия по организации и реализации отдыха, оздоровления, трудоустройства в свободное от учебы время несовершеннолетних.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409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590"/>
        <w:gridCol w:w="1917"/>
        <w:gridCol w:w="1920"/>
        <w:gridCol w:w="1920"/>
        <w:gridCol w:w="2749"/>
      </w:tblGrid>
      <w:tr>
        <w:trPr/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рублей</w:t>
            </w:r>
          </w:p>
        </w:tc>
      </w:tr>
      <w:tr>
        <w:trPr/>
        <w:tc>
          <w:tcPr>
            <w:tcW w:w="5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Всего: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 на реализацию комплекса процессных мероприятий, в т.ч.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1343 000,00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1343 000,00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1343 000,00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1343 000,00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 текущем году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49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323"/>
        <w:gridCol w:w="2039"/>
        <w:gridCol w:w="1816"/>
        <w:gridCol w:w="7791"/>
      </w:tblGrid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Вид подтверждающего документа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</w:tr>
      <w:tr>
        <w:trPr/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2 - снижение уровня распространения наркомании, алкоголизма, табакокурения и связанных с ними социально-негативных явлений.</w:t>
            </w:r>
          </w:p>
        </w:tc>
      </w:tr>
      <w:tr>
        <w:trPr>
          <w:trHeight w:val="2392" w:hRule="atLeast"/>
        </w:trPr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  1: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Организация профилактической работы по противодействию распространению наркомании в Катав-Ивановском муниципальном районе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X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области;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Доклад ГБУЗ «Районная больница г. Катав-Ивановск»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4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b/>
          <w:bCs/>
        </w:rPr>
      </w:pPr>
      <w:bookmarkStart w:id="8" w:name="P2312_Копия_1_Копия_1"/>
      <w:bookmarkEnd w:id="8"/>
      <w:r>
        <w:rPr>
          <w:rFonts w:cs="Times New Roman" w:ascii="Times New Roman" w:hAnsi="Times New Roman"/>
          <w:b/>
          <w:bCs/>
          <w:sz w:val="26"/>
          <w:szCs w:val="26"/>
        </w:rPr>
        <w:t>ПАСПОРТ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  <w:u w:val="single"/>
        </w:rPr>
        <w:t>«Противодействие террористическим проявлениям на территории Катав-Ивановского муниципального района»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9" w:name="_GoBack_Копия_1_Копия_1"/>
      <w:bookmarkStart w:id="10" w:name="_GoBack_Копия_1_Копия_1"/>
      <w:bookmarkEnd w:id="10"/>
    </w:p>
    <w:p>
      <w:pPr>
        <w:pStyle w:val="ConsPlusNormal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Основные положения</w:t>
      </w:r>
    </w:p>
    <w:p>
      <w:pPr>
        <w:pStyle w:val="ConsPlusNormal"/>
        <w:numPr>
          <w:ilvl w:val="0"/>
          <w:numId w:val="0"/>
        </w:numPr>
        <w:ind w:left="720" w:hanging="0"/>
        <w:outlineLvl w:val="2"/>
        <w:rPr>
          <w:b/>
          <w:bCs/>
        </w:rPr>
      </w:pPr>
      <w:r>
        <w:rPr>
          <w:b/>
          <w:bCs/>
        </w:rPr>
      </w:r>
    </w:p>
    <w:tbl>
      <w:tblPr>
        <w:tblW w:w="15168" w:type="dxa"/>
        <w:jc w:val="lef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387"/>
        <w:gridCol w:w="3260"/>
        <w:gridCol w:w="6521"/>
      </w:tblGrid>
      <w:tr>
        <w:trPr/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" w:eastAsiaTheme="minorEastAsia"/>
                <w:sz w:val="26"/>
                <w:szCs w:val="26"/>
              </w:rPr>
            </w:pPr>
            <w:r>
              <w:rPr>
                <w:rFonts w:eastAsia="" w:eastAsiaTheme="minorEastAsia"/>
                <w:sz w:val="26"/>
                <w:szCs w:val="26"/>
              </w:rPr>
              <w:t>Ласкин Алексей Иванович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2. Показатели комплекса процессных мероприятий</w:t>
      </w:r>
    </w:p>
    <w:tbl>
      <w:tblPr>
        <w:tblpPr w:bottomFromText="0" w:horzAnchor="margin" w:leftFromText="180" w:rightFromText="180" w:tblpX="0" w:tblpY="616" w:topFromText="0" w:vertAnchor="text"/>
        <w:tblW w:w="15088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48"/>
        <w:gridCol w:w="3042"/>
        <w:gridCol w:w="2338"/>
        <w:gridCol w:w="1770"/>
        <w:gridCol w:w="1771"/>
        <w:gridCol w:w="1779"/>
        <w:gridCol w:w="1772"/>
        <w:gridCol w:w="1866"/>
      </w:tblGrid>
      <w:tr>
        <w:trPr>
          <w:trHeight w:val="1752" w:hRule="atLeast"/>
        </w:trPr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3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Базовое значение за год</w:t>
            </w:r>
          </w:p>
        </w:tc>
        <w:tc>
          <w:tcPr>
            <w:tcW w:w="5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за достижение показателя</w:t>
            </w:r>
          </w:p>
        </w:tc>
      </w:tr>
      <w:tr>
        <w:trPr>
          <w:trHeight w:val="873" w:hRule="atLeast"/>
        </w:trPr>
        <w:tc>
          <w:tcPr>
            <w:tcW w:w="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18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690" w:hRule="atLeast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>
        <w:trPr/>
        <w:tc>
          <w:tcPr>
            <w:tcW w:w="150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>
        <w:trPr/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совершенных террористических актов на территории Катав-Ивановского муниципального района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 и участники муниципальной программы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3. Мероприятия (результаты)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37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62"/>
        <w:gridCol w:w="2824"/>
        <w:gridCol w:w="2057"/>
        <w:gridCol w:w="1761"/>
        <w:gridCol w:w="2203"/>
        <w:gridCol w:w="1443"/>
        <w:gridCol w:w="1448"/>
        <w:gridCol w:w="1447"/>
        <w:gridCol w:w="1425"/>
      </w:tblGrid>
      <w:tr>
        <w:trPr/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N п/п</w:t>
            </w:r>
          </w:p>
        </w:tc>
        <w:tc>
          <w:tcPr>
            <w:tcW w:w="2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Единицы измерения (по </w:t>
            </w:r>
            <w:hyperlink r:id="rId9">
              <w:r>
                <w:rPr>
                  <w:rFonts w:cs="Times New Roman" w:ascii="Times New Roman" w:hAnsi="Times New Roman"/>
                  <w:color w:val="0000FF"/>
                  <w:sz w:val="26"/>
                  <w:szCs w:val="26"/>
                </w:rPr>
                <w:t>ОКЕИ</w:t>
              </w:r>
            </w:hyperlink>
            <w:r>
              <w:rPr>
                <w:rFonts w:cs="Times New Roman"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Характеристика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Базовое значение за год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8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0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7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2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153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>
        <w:trPr/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</w:t>
            </w:r>
          </w:p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Организация профилактической работы по противодействию терроризма в Катав-Ивановском муниципальном районе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Иные мероприятия (результаты)</w:t>
            </w:r>
          </w:p>
        </w:tc>
        <w:tc>
          <w:tcPr>
            <w:tcW w:w="1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</w:t>
            </w:r>
          </w:p>
        </w:tc>
        <w:tc>
          <w:tcPr>
            <w:tcW w:w="2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Проведение межведомственных профилактических акций по профилактике терроризма.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b/>
          <w:bCs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28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590"/>
        <w:gridCol w:w="1919"/>
        <w:gridCol w:w="1919"/>
        <w:gridCol w:w="1919"/>
        <w:gridCol w:w="1498"/>
      </w:tblGrid>
      <w:tr>
        <w:trPr/>
        <w:tc>
          <w:tcPr>
            <w:tcW w:w="5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Объем финансового обеспечения по годам реализации,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рублей</w:t>
            </w:r>
          </w:p>
        </w:tc>
      </w:tr>
      <w:tr>
        <w:trPr/>
        <w:tc>
          <w:tcPr>
            <w:tcW w:w="5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Всего: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Всего на реализацию комплекса процессных мероприятий, в т.ч.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876 000,00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876 000,00</w:t>
            </w:r>
          </w:p>
        </w:tc>
      </w:tr>
      <w:tr>
        <w:trPr/>
        <w:tc>
          <w:tcPr>
            <w:tcW w:w="5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</w:tr>
      <w:tr>
        <w:trPr/>
        <w:tc>
          <w:tcPr>
            <w:tcW w:w="5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Источник не определен (за счет средств программ соисполнителей)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876 000,00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876 000,00</w:t>
            </w:r>
          </w:p>
        </w:tc>
      </w:tr>
    </w:tbl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outlineLvl w:val="2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2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5. План реализации комплекса процессных мероприятий</w:t>
      </w:r>
    </w:p>
    <w:p>
      <w:pPr>
        <w:pStyle w:val="ConsPlusNormal"/>
        <w:jc w:val="center"/>
        <w:rPr>
          <w:b/>
          <w:bCs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 текущем году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497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3323"/>
        <w:gridCol w:w="2039"/>
        <w:gridCol w:w="1816"/>
        <w:gridCol w:w="7791"/>
      </w:tblGrid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Задача, мероприятие (результат)/контрольная точка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Вид подтверждающего документа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</w:tr>
      <w:tr>
        <w:trPr/>
        <w:tc>
          <w:tcPr>
            <w:tcW w:w="1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Задача 3 - предупреждение террористических актов, связанных с ними чрезвычайных ситуаций, повышение оперативности их предупреждения, обнаружения и предотвращения.</w:t>
            </w:r>
          </w:p>
        </w:tc>
      </w:tr>
      <w:tr>
        <w:trPr>
          <w:trHeight w:val="2392" w:hRule="atLeast"/>
        </w:trPr>
        <w:tc>
          <w:tcPr>
            <w:tcW w:w="33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Организация профилактической работы по противодействию терроризма в Катав-Ивановском муниципальном районе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10.01.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10.07.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</w:tr>
      <w:tr>
        <w:trPr/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Мероприятие: Проведение информационно-правового просвещения населения Катав-Ивановского муниципального района в области противодействия идеологии терроризма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31.12.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2025 г.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7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Размещение информационных материалов в СМИ и сети интернет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rFonts w:eastAsia="Gabriola"/>
          <w:sz w:val="27"/>
          <w:szCs w:val="27"/>
        </w:rPr>
      </w:pPr>
      <w:r>
        <w:rPr>
          <w:rFonts w:eastAsia="Gabriola"/>
          <w:sz w:val="27"/>
          <w:szCs w:val="27"/>
        </w:rPr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rFonts w:eastAsia="Gabriola"/>
          <w:sz w:val="27"/>
          <w:szCs w:val="27"/>
        </w:rPr>
      </w:pPr>
      <w:r>
        <w:rPr>
          <w:rFonts w:eastAsia="Gabriola"/>
          <w:sz w:val="27"/>
          <w:szCs w:val="27"/>
        </w:rPr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5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Методика расчета и источники информации о значениях показателей</w:t>
      </w:r>
    </w:p>
    <w:p>
      <w:pPr>
        <w:pStyle w:val="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499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58"/>
        <w:gridCol w:w="2609"/>
        <w:gridCol w:w="1562"/>
        <w:gridCol w:w="1954"/>
        <w:gridCol w:w="1624"/>
        <w:gridCol w:w="1899"/>
        <w:gridCol w:w="1478"/>
        <w:gridCol w:w="1551"/>
        <w:gridCol w:w="1658"/>
      </w:tblGrid>
      <w:tr>
        <w:trPr>
          <w:trHeight w:val="555" w:hRule="atLeast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</w:t>
            </w:r>
            <w:r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Направления/ задачи/ показатели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Единица измерения (по ОКЕИ)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НПА, определяющий методику расчета показателя</w:t>
            </w:r>
          </w:p>
        </w:tc>
        <w:tc>
          <w:tcPr>
            <w:tcW w:w="3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 показателя</w:t>
            </w:r>
          </w:p>
        </w:tc>
        <w:tc>
          <w:tcPr>
            <w:tcW w:w="468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Исходные данные для расчета значений показателя</w:t>
            </w:r>
          </w:p>
        </w:tc>
      </w:tr>
      <w:tr>
        <w:trPr>
          <w:trHeight w:val="1710" w:hRule="atLeast"/>
        </w:trPr>
        <w:tc>
          <w:tcPr>
            <w:tcW w:w="6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6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формула расчета</w:t>
            </w:r>
          </w:p>
        </w:tc>
        <w:tc>
          <w:tcPr>
            <w:tcW w:w="1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буквенное обозначение переменной в формуле расчета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метод сбора исходных данных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периодичность сбора и срок представления исходных данных</w:t>
            </w:r>
          </w:p>
        </w:tc>
      </w:tr>
      <w:tr>
        <w:trPr>
          <w:trHeight w:val="225" w:hRule="atLeast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</w:tr>
      <w:tr>
        <w:trPr>
          <w:trHeight w:val="666" w:hRule="atLeast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335" w:type="dxa"/>
            <w:gridSpan w:val="8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numPr>
                <w:ilvl w:val="0"/>
                <w:numId w:val="0"/>
              </w:numPr>
              <w:spacing w:lineRule="auto" w:line="276"/>
              <w:ind w:left="0" w:hanging="0"/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«Обеспечение общественной безопасности в Катав-Ивановском муниципальном районе»</w:t>
            </w:r>
          </w:p>
        </w:tc>
      </w:tr>
      <w:tr>
        <w:trPr>
          <w:trHeight w:val="255" w:hRule="atLeast"/>
        </w:trPr>
        <w:tc>
          <w:tcPr>
            <w:tcW w:w="6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60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Удельный вес преступлений, совершенных в общественных местах, в том числе на улицах от общего количества совершенных преступлений</w:t>
            </w:r>
          </w:p>
        </w:tc>
        <w:tc>
          <w:tcPr>
            <w:tcW w:w="15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9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left"/>
              <w:rPr>
                <w:color w:val="000000"/>
                <w:sz w:val="26"/>
                <w:szCs w:val="26"/>
              </w:rPr>
            </w:pPr>
            <w:r>
              <w:rPr/>
            </w:r>
            <m:oMathPara xmlns:m="http://schemas.openxmlformats.org/officeDocument/2006/math"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Y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Z</m:t>
                    </m:r>
                    <m:r>
                      <w:rPr>
                        <w:rFonts w:ascii="Cambria Math" w:hAnsi="Cambria Math"/>
                      </w:rPr>
                      <m:t xml:space="preserve">∗</m:t>
                    </m:r>
                    <m:r>
                      <w:rPr>
                        <w:rFonts w:ascii="Cambria Math" w:hAnsi="Cambria Math"/>
                      </w:rPr>
                      <m:t xml:space="preserve">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 xml:space="preserve">%</m:t>
                    </m:r>
                  </m:den>
                </m:f>
              </m:oMath>
            </m:oMathPara>
          </w:p>
        </w:tc>
        <w:tc>
          <w:tcPr>
            <w:tcW w:w="1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6"/>
                <w:szCs w:val="26"/>
              </w:rPr>
              <w:t>Y – удельный вес преступлений в общественных местах, в т.ч. на улицах;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6"/>
                <w:szCs w:val="26"/>
              </w:rPr>
              <w:t>Х – количество преступлений совершенных в общественных местах;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6"/>
                <w:szCs w:val="26"/>
              </w:rPr>
              <w:t>Z – общее количество совершенных преступлений.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Официальный запрос информации от Администрации Катав-Ивановского муниципального района</w:t>
            </w:r>
          </w:p>
        </w:tc>
        <w:tc>
          <w:tcPr>
            <w:tcW w:w="16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 раза в год</w:t>
            </w:r>
          </w:p>
        </w:tc>
      </w:tr>
      <w:tr>
        <w:trPr>
          <w:trHeight w:val="25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  <w:r>
              <w:rPr>
                <w:sz w:val="26"/>
                <w:szCs w:val="26"/>
              </w:rPr>
              <w:t xml:space="preserve">    Удельный вес преступлений, совершенных несовершеннолетними от общего количества совершенных преступлений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/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Y</m:t>
                </m:r>
                <m:r>
                  <w:rPr>
                    <w:rFonts w:ascii="Cambria Math" w:hAnsi="Cambria Math"/>
                  </w:rPr>
                  <m:t xml:space="preserve">=</m:t>
                </m:r>
                <m:f>
                  <m:num>
                    <m:r>
                      <w:rPr>
                        <w:rFonts w:ascii="Cambria Math" w:hAnsi="Cambria Math"/>
                      </w:rPr>
                      <m:t xml:space="preserve"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Z</m:t>
                    </m:r>
                    <m:r>
                      <w:rPr>
                        <w:rFonts w:ascii="Cambria Math" w:hAnsi="Cambria Math"/>
                      </w:rPr>
                      <m:t xml:space="preserve">∗</m:t>
                    </m:r>
                    <m:r>
                      <w:rPr>
                        <w:rFonts w:ascii="Cambria Math" w:hAnsi="Cambria Math"/>
                      </w:rPr>
                      <m:t xml:space="preserve">100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 xml:space="preserve">%</m:t>
                    </m:r>
                  </m:den>
                </m:f>
              </m:oMath>
            </m:oMathPara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Y – удельный вес преступлений, совершенных несовершеннолетними;</w:t>
            </w:r>
          </w:p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 – количество преступлений совершенных несовершеннолетними;</w:t>
            </w:r>
          </w:p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Z – общее количество совершенных преступлений.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Официальный запрос информации от Администрации Катав-Ивановского муниципального района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 раза в год</w:t>
            </w:r>
          </w:p>
        </w:tc>
      </w:tr>
      <w:tr>
        <w:trPr>
          <w:trHeight w:val="25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мероприятий по профилактике немедицинского потребления наркотических средств и психотропных веществ, в том числе системных направленных на ведение здорового образа жизни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Официальный запрос информации от Администрации Катав-Ивановского муниципального района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 раза в год</w:t>
            </w:r>
          </w:p>
        </w:tc>
      </w:tr>
      <w:tr>
        <w:trPr>
          <w:trHeight w:val="25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Показатель:</w:t>
            </w:r>
          </w:p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Количество совершенных террористических актов на территории Катав-Ивановского муниципального района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  <w:sz w:val="26"/>
                <w:szCs w:val="26"/>
              </w:rPr>
              <w:t>х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постоянно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справка ОМВД России по Катав-Ивановскому району Челябинской области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Официальный запрос информации от Администрации Катав-Ивановского муниципального района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 раза в год</w:t>
            </w:r>
          </w:p>
        </w:tc>
      </w:tr>
    </w:tbl>
    <w:p>
      <w:pPr>
        <w:pStyle w:val="Normal"/>
        <w:ind w:right="624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r>
        <w:br w:type="page"/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>Приложение 5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rFonts w:eastAsia="Gabriola"/>
          <w:sz w:val="27"/>
          <w:szCs w:val="27"/>
        </w:rPr>
        <w:t xml:space="preserve">к муниципальной программе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7"/>
          <w:szCs w:val="27"/>
        </w:rPr>
        <w:t xml:space="preserve">«Обеспечение общественной безопасности </w:t>
      </w:r>
    </w:p>
    <w:p>
      <w:pPr>
        <w:pStyle w:val="Normal"/>
        <w:tabs>
          <w:tab w:val="clear" w:pos="708"/>
          <w:tab w:val="left" w:pos="15026" w:leader="none"/>
          <w:tab w:val="left" w:pos="15168" w:leader="none"/>
        </w:tabs>
        <w:jc w:val="right"/>
        <w:rPr>
          <w:sz w:val="28"/>
          <w:szCs w:val="28"/>
        </w:rPr>
      </w:pPr>
      <w:r>
        <w:rPr>
          <w:sz w:val="26"/>
          <w:szCs w:val="26"/>
        </w:rPr>
        <w:t>в Катав-Ивановском муниципальном районе»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411"/>
      <w:bookmarkEnd w:id="11"/>
      <w:r>
        <w:rPr>
          <w:rFonts w:cs="Times New Roman" w:ascii="Times New Roman" w:hAnsi="Times New Roman"/>
          <w:sz w:val="28"/>
          <w:szCs w:val="28"/>
        </w:rPr>
        <w:t>Реестр документов муниципальной программы</w:t>
      </w:r>
    </w:p>
    <w:p>
      <w:pPr>
        <w:pStyle w:val="ConsPlusNormal"/>
        <w:widowControl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«Обеспечение общественной безопасности </w:t>
      </w:r>
    </w:p>
    <w:p>
      <w:pPr>
        <w:pStyle w:val="ConsPlusNormal"/>
        <w:widowControl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Катав-Ивановском муниципальном районе»</w:t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5371" w:type="dxa"/>
        <w:jc w:val="left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510"/>
        <w:gridCol w:w="2670"/>
        <w:gridCol w:w="2269"/>
        <w:gridCol w:w="2834"/>
        <w:gridCol w:w="2126"/>
        <w:gridCol w:w="2553"/>
        <w:gridCol w:w="2408"/>
      </w:tblGrid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документа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Разработчик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Гиперссылка на текст документа</w:t>
            </w:r>
          </w:p>
        </w:tc>
      </w:tr>
      <w:tr>
        <w:trPr>
          <w:trHeight w:val="128" w:hRule="atLeast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Title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Муниципальная программа «Обеспечение общественной</w:t>
            </w:r>
          </w:p>
          <w:p>
            <w:pPr>
              <w:pStyle w:val="ConsPlusTitle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безопасности в  Катав-Ивановском</w:t>
            </w:r>
          </w:p>
          <w:p>
            <w:pPr>
              <w:pStyle w:val="ConsPlusTitle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муниципальном районе»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Администрации Катав-Ивановского муниципального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   утверждении муниципальной</w:t>
            </w:r>
          </w:p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программы  «Обеспечение общественной</w:t>
            </w:r>
          </w:p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безопасности в  Катав-Ивановском</w:t>
            </w:r>
          </w:p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муниципальном районе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53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23.01.2023г.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20.03.2025г. №236)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общественной безопасности Администрация Катав-Ивановского муниципального района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napToGrid w:val="false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>
                <w:rPr>
                  <w:rStyle w:val="-"/>
                  <w:rFonts w:cs="Times New Roman" w:ascii="Times New Roman" w:hAnsi="Times New Roman"/>
                  <w:sz w:val="26"/>
                  <w:szCs w:val="26"/>
                </w:rPr>
                <w:t>https://katavivan.ru/node/19285</w:t>
              </w:r>
            </w:hyperlink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программа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Челябинской области "Обеспечение общественной безопасности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Челябинской области"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  Правительства Челябинской области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 внесении изменений в постановление Правительства Челябинской области  от 30.12.2019г. №628-П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628-П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от 30.12.2019г.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16.09.2024г. №529-П)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Министерство общественной безопасности Челябинской области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https://minob.gov74.ru/minob/documents/programs/gosudarstvennyeprogrammy/gosudarstvennayaprogrammachely_42.htm</w:t>
              </w:r>
            </w:hyperlink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Стратегия государственной антинаркотической политики Российской Федерации на период до 2030 года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Указ Президента Российской Федерации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Указ Президента РФ от 23 ноября 2020 г. № 733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"Об утверждении Стратегии государственной антинаркотической политики Российской Федерации на период до 2030 года"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733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23.01.2020г.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 29.03.2023 г.)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Государственный антинаркотический комитет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https://base.garant.ru/74938781/</w:t>
              </w:r>
            </w:hyperlink>
          </w:p>
        </w:tc>
      </w:tr>
      <w:tr>
        <w:trPr/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"О противодействии терроризму"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от 6 марта 2006 года № 35-ФЗ "О противодействии терроризму"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35-ФЗ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06.03.2006г.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28.02.2025 г. №16-ФЗ)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Национальный антитеррористический комитет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>
                <w:rPr>
                  <w:rStyle w:val="-"/>
                  <w:rFonts w:cs="Times New Roman" w:ascii="Times New Roman" w:hAnsi="Times New Roman"/>
                  <w:sz w:val="24"/>
                  <w:szCs w:val="24"/>
                </w:rPr>
                <w:t>https://www.consultant.ru/document/cons_doc_LAW_58840/</w:t>
              </w:r>
            </w:hyperlink>
          </w:p>
        </w:tc>
      </w:tr>
      <w:tr>
        <w:trPr/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"Об основах системы профилактики правонарушений в Российской Федерации"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от 23.06.2016 № 182-ФЗ "Об основах системы профилактики правонарушений в Российской Федерации"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182-ФЗ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23.06.2016г.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 08.08.2024 г.)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hyperlink r:id="rId14">
              <w:r>
                <w:rPr>
                  <w:rStyle w:val="-"/>
                  <w:rFonts w:ascii="Times New Roman" w:hAnsi="Times New Roman"/>
                  <w:sz w:val="24"/>
                  <w:szCs w:val="24"/>
                </w:rPr>
                <w:t>https://www.consultant.ru/document/cons_doc_LAW_199976/</w:t>
              </w:r>
            </w:hyperlink>
          </w:p>
        </w:tc>
      </w:tr>
      <w:tr>
        <w:trPr/>
        <w:tc>
          <w:tcPr>
            <w:tcW w:w="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"Об общих принципах организации местного самоуправления в Российской Федерации"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Постановление Конституционного Суда РФ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Федеральный закон от 06.10.2003 № 131-ФЗ "Об общих принципах организации местного самоуправления в Российской Федерации"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131-ФЗ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06.10.2003г.</w:t>
            </w:r>
          </w:p>
          <w:p>
            <w:pPr>
              <w:pStyle w:val="ConsPlusNorma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(в ред. от 20.03.2025 г.)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Правительство Российской Федерации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hyperlink r:id="rId15">
              <w:r>
                <w:rPr>
                  <w:rStyle w:val="-"/>
                  <w:rFonts w:ascii="Times New Roman" w:hAnsi="Times New Roman"/>
                  <w:sz w:val="24"/>
                  <w:szCs w:val="24"/>
                </w:rPr>
                <w:t>https://www.consultant.ru/document/cons_doc_LAW_44571/</w:t>
              </w:r>
            </w:hyperlink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/>
      </w:r>
    </w:p>
    <w:sectPr>
      <w:type w:val="nextPage"/>
      <w:pgSz w:orient="landscape" w:w="16838" w:h="11906"/>
      <w:pgMar w:left="993" w:right="850" w:gutter="0" w:header="0" w:top="1134" w:footer="0" w:bottom="993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65b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9a1397"/>
    <w:rPr>
      <w:rFonts w:ascii="Tahoma" w:hAnsi="Tahoma" w:cs="Tahoma"/>
      <w:sz w:val="16"/>
      <w:szCs w:val="16"/>
    </w:rPr>
  </w:style>
  <w:style w:type="character" w:styleId="-">
    <w:name w:val="Hyperlink"/>
    <w:rPr>
      <w:color w:val="000080"/>
      <w:u w:val="single"/>
    </w:rPr>
  </w:style>
  <w:style w:type="character" w:styleId="W" w:customStyle="1">
    <w:name w:val="w"/>
    <w:basedOn w:val="DefaultParagraphFont"/>
    <w:qFormat/>
    <w:rPr/>
  </w:style>
  <w:style w:type="character" w:styleId="Style15">
    <w:name w:val="FollowedHyperlink"/>
    <w:rPr>
      <w:color w:val="800080"/>
      <w:u w:val="single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95713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rmal" w:customStyle="1">
    <w:name w:val="ConsPlusNormal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paragraph" w:styleId="ConsPlusCell" w:customStyle="1">
    <w:name w:val="ConsPlusCell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Page" w:customStyle="1">
    <w:name w:val="ConsPlusTitlePage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" w:cs="Tahoma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JurTerm" w:customStyle="1">
    <w:name w:val="ConsPlusJurTerm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" w:cs="Tahoma" w:eastAsiaTheme="minorEastAsia"/>
      <w:color w:val="auto"/>
      <w:kern w:val="0"/>
      <w:sz w:val="26"/>
      <w:szCs w:val="22"/>
      <w:lang w:val="ru-RU" w:eastAsia="ru-RU" w:bidi="ar-SA"/>
    </w:rPr>
  </w:style>
  <w:style w:type="paragraph" w:styleId="ConsPlusTextList" w:customStyle="1">
    <w:name w:val="ConsPlusTextList"/>
    <w:qFormat/>
    <w:rsid w:val="009a1397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9a1397"/>
    <w:pPr/>
    <w:rPr>
      <w:rFonts w:ascii="Tahoma" w:hAnsi="Tahoma" w:cs="Tahoma"/>
      <w:sz w:val="16"/>
      <w:szCs w:val="16"/>
    </w:rPr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Style24" w:customStyle="1">
    <w:name w:val="Колонтитул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Header"/>
    <w:basedOn w:val="Style24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Autospacing="1"/>
    </w:pPr>
    <w:rPr>
      <w:rFonts w:eastAsia="" w:eastAsiaTheme="minorEastAsia"/>
      <w:szCs w:val="24"/>
    </w:rPr>
  </w:style>
  <w:style w:type="paragraph" w:styleId="Style26">
    <w:name w:val="Footer"/>
    <w:basedOn w:val="Normal"/>
    <w:link w:val="Style16"/>
    <w:uiPriority w:val="99"/>
    <w:unhideWhenUsed/>
    <w:rsid w:val="00a95713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5629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jurisprudence.academic.ru/5059/&#1087;&#1088;&#1077;&#1076;&#1091;&#1087;&#1088;&#1077;&#1078;&#1076;&#1077;&#1085;&#1080;&#1077;" TargetMode="External"/><Relationship Id="rId3" Type="http://schemas.openxmlformats.org/officeDocument/2006/relationships/hyperlink" Target="http://jurisprudence.academic.ru/5458/&#1088;&#1077;&#1072;&#1073;&#1080;&#1083;&#1080;&#1090;&#1072;&#1094;&#1080;&#1103;" TargetMode="External"/><Relationship Id="rId4" Type="http://schemas.openxmlformats.org/officeDocument/2006/relationships/hyperlink" Target="garantf1://12076340.1000" TargetMode="External"/><Relationship Id="rId5" Type="http://schemas.openxmlformats.org/officeDocument/2006/relationships/hyperlink" Target="garantf1://12076340.0" TargetMode="External"/><Relationship Id="rId6" Type="http://schemas.openxmlformats.org/officeDocument/2006/relationships/hyperlink" Target="https://login.consultant.ru/link/?req=doc&amp;base=LAW&amp;n=458506&amp;dst=27974" TargetMode="External"/><Relationship Id="rId7" Type="http://schemas.openxmlformats.org/officeDocument/2006/relationships/hyperlink" Target="https://login.consultant.ru/link/?req=doc&amp;base=LAW&amp;n=441135" TargetMode="External"/><Relationship Id="rId8" Type="http://schemas.openxmlformats.org/officeDocument/2006/relationships/hyperlink" Target="https://login.consultant.ru/link/?req=doc&amp;base=LAW&amp;n=441135" TargetMode="External"/><Relationship Id="rId9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katavivan.ru/node/19285" TargetMode="External"/><Relationship Id="rId11" Type="http://schemas.openxmlformats.org/officeDocument/2006/relationships/hyperlink" Target="https://minob.gov74.ru/minob/documents/programs/gosudarstvennyeprogrammy/gosudarstvennayaprogrammachely_42.htm" TargetMode="External"/><Relationship Id="rId12" Type="http://schemas.openxmlformats.org/officeDocument/2006/relationships/hyperlink" Target="https://katavivan.ru/sites/default/files/n/page/upload/resheniesobraniyadeputatovkimrno380ot15062023govnesizmvpolozhenieorealizaciiiniciativnyhproektovvkim.pdf" TargetMode="External"/><Relationship Id="rId13" Type="http://schemas.openxmlformats.org/officeDocument/2006/relationships/hyperlink" Target="https://www.consultant.ru/document/cons_doc_LAW_58840/" TargetMode="External"/><Relationship Id="rId14" Type="http://schemas.openxmlformats.org/officeDocument/2006/relationships/hyperlink" Target="https://www.consultant.ru/document/cons_doc_LAW_199976/" TargetMode="External"/><Relationship Id="rId15" Type="http://schemas.openxmlformats.org/officeDocument/2006/relationships/hyperlink" Target="https://www.consultant.ru/document/cons_doc_LAW_44571/" TargetMode="Externa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EE4F-A70F-44B2-8AC6-4CDC2ACD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Application>LibreOffice/7.5.2.1$Linux_X86_64 LibreOffice_project/50$Build-1</Application>
  <AppVersion>15.0000</AppVersion>
  <Pages>40</Pages>
  <Words>4254</Words>
  <Characters>32269</Characters>
  <CharactersWithSpaces>35664</CharactersWithSpaces>
  <Paragraphs>992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2024-06-25T11:12:00Z</dcterms:created>
  <dc:creator>User</dc:creator>
  <dc:description/>
  <dc:language>ru-RU</dc:language>
  <cp:lastModifiedBy/>
  <cp:lastPrinted>2025-08-20T08:50:11Z</cp:lastPrinted>
  <dcterms:modified xsi:type="dcterms:W3CDTF">2025-08-20T08:50:02Z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